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27F69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880" w:firstLineChars="200"/>
        <w:jc w:val="center"/>
        <w:textAlignment w:val="auto"/>
        <w:outlineLvl w:val="9"/>
        <w:rPr>
          <w:rFonts w:hint="eastAsia" w:ascii="Times New Roman" w:hAnsi="Times New Roman" w:eastAsia="方正公文小标宋" w:cs="方正公文小标宋"/>
          <w:sz w:val="44"/>
          <w:szCs w:val="44"/>
          <w:lang w:val="en-US" w:eastAsia="zh-CN"/>
        </w:rPr>
      </w:pPr>
      <w:bookmarkStart w:id="0" w:name="_Toc8204"/>
      <w:bookmarkStart w:id="1" w:name="_Toc112"/>
      <w:bookmarkStart w:id="2" w:name="_Toc16064"/>
      <w:bookmarkStart w:id="3" w:name="_Toc30541"/>
    </w:p>
    <w:p w14:paraId="3C02989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jc w:val="center"/>
        <w:textAlignment w:val="auto"/>
        <w:outlineLvl w:val="9"/>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lang w:val="en-US" w:eastAsia="zh-CN"/>
        </w:rPr>
        <w:t>关于《</w:t>
      </w:r>
      <w:bookmarkEnd w:id="0"/>
      <w:bookmarkEnd w:id="1"/>
      <w:bookmarkEnd w:id="2"/>
      <w:bookmarkEnd w:id="3"/>
      <w:r>
        <w:rPr>
          <w:rFonts w:hint="eastAsia" w:ascii="Times New Roman" w:hAnsi="Times New Roman" w:eastAsia="方正小标宋简体" w:cs="方正小标宋简体"/>
          <w:sz w:val="44"/>
          <w:szCs w:val="44"/>
        </w:rPr>
        <w:t>自治区房屋建筑和市政基础设施工程</w:t>
      </w:r>
    </w:p>
    <w:p w14:paraId="5CC4DEA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jc w:val="center"/>
        <w:textAlignment w:val="auto"/>
        <w:outlineLvl w:val="9"/>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招标投标行政监督权责清单</w:t>
      </w:r>
      <w:r>
        <w:rPr>
          <w:rFonts w:hint="eastAsia" w:ascii="Times New Roman" w:hAnsi="Times New Roman" w:eastAsia="方正小标宋简体" w:cs="方正小标宋简体"/>
          <w:sz w:val="44"/>
          <w:szCs w:val="44"/>
          <w:lang w:eastAsia="zh-CN"/>
        </w:rPr>
        <w:t>》</w:t>
      </w:r>
      <w:r>
        <w:rPr>
          <w:rFonts w:hint="eastAsia" w:ascii="Times New Roman" w:hAnsi="Times New Roman" w:eastAsia="方正小标宋简体" w:cs="方正小标宋简体"/>
          <w:sz w:val="44"/>
          <w:szCs w:val="44"/>
          <w:lang w:val="en-US" w:eastAsia="zh-CN"/>
        </w:rPr>
        <w:t>的</w:t>
      </w:r>
      <w:r>
        <w:rPr>
          <w:rFonts w:hint="eastAsia" w:ascii="Times New Roman" w:hAnsi="Times New Roman" w:eastAsia="方正小标宋简体" w:cs="方正小标宋简体"/>
          <w:bCs/>
          <w:sz w:val="44"/>
          <w:szCs w:val="44"/>
          <w:lang w:val="en-US" w:eastAsia="zh-CN"/>
        </w:rPr>
        <w:t>起草</w:t>
      </w:r>
      <w:r>
        <w:rPr>
          <w:rFonts w:hint="eastAsia" w:ascii="Times New Roman" w:hAnsi="Times New Roman" w:eastAsia="方正小标宋简体" w:cs="方正小标宋简体"/>
          <w:sz w:val="44"/>
          <w:szCs w:val="44"/>
        </w:rPr>
        <w:t>说明</w:t>
      </w:r>
    </w:p>
    <w:p w14:paraId="678BF087">
      <w:pPr>
        <w:pStyle w:val="10"/>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Times New Roman" w:hAnsi="Times New Roman" w:eastAsia="仿宋_GB2312" w:cs="仿宋_GB2312"/>
          <w:sz w:val="32"/>
          <w:szCs w:val="32"/>
        </w:rPr>
      </w:pPr>
    </w:p>
    <w:p w14:paraId="25B022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按照《国务院办公厅关于创新完善体制机制推动招标投标市场规范健康发展的意见》（国办发〔2024〕21号）相关要求，</w:t>
      </w:r>
      <w:r>
        <w:rPr>
          <w:rFonts w:hint="default" w:ascii="Times New Roman" w:hAnsi="Times New Roman" w:eastAsia="仿宋_GB2312" w:cs="Times New Roman"/>
          <w:sz w:val="32"/>
          <w:szCs w:val="32"/>
          <w:lang w:val="en-US" w:eastAsia="zh-CN"/>
        </w:rPr>
        <w:t>为</w:t>
      </w:r>
      <w:r>
        <w:rPr>
          <w:rFonts w:hint="eastAsia" w:ascii="Times New Roman" w:hAnsi="Times New Roman" w:eastAsia="仿宋_GB2312" w:cs="Times New Roman"/>
          <w:sz w:val="32"/>
          <w:szCs w:val="32"/>
          <w:lang w:val="en-US" w:eastAsia="zh-CN"/>
        </w:rPr>
        <w:t>加强招标投标监管工作，</w:t>
      </w:r>
      <w:r>
        <w:rPr>
          <w:rFonts w:hint="default" w:ascii="Times New Roman" w:hAnsi="Times New Roman" w:eastAsia="仿宋_GB2312" w:cs="Times New Roman"/>
          <w:sz w:val="32"/>
          <w:szCs w:val="32"/>
          <w:lang w:val="en-US" w:eastAsia="zh-CN"/>
        </w:rPr>
        <w:t>进一步</w:t>
      </w:r>
      <w:r>
        <w:rPr>
          <w:rFonts w:hint="eastAsia" w:ascii="Times New Roman" w:hAnsi="Times New Roman" w:eastAsia="仿宋_GB2312" w:cs="Times New Roman"/>
          <w:sz w:val="32"/>
          <w:szCs w:val="32"/>
          <w:lang w:val="en-US" w:eastAsia="zh-CN"/>
        </w:rPr>
        <w:t>强化房屋建筑和市政基础设施工程招标投标监管责任，明确行政监督职责边界和监管范围、程序、方式，消除监管盲区，</w:t>
      </w:r>
      <w:r>
        <w:rPr>
          <w:rFonts w:hint="default" w:ascii="Times New Roman" w:hAnsi="Times New Roman" w:eastAsia="仿宋_GB2312" w:cs="Times New Roman"/>
          <w:sz w:val="32"/>
          <w:szCs w:val="32"/>
          <w:lang w:val="en-US" w:eastAsia="zh-CN"/>
        </w:rPr>
        <w:t>我</w:t>
      </w:r>
      <w:r>
        <w:rPr>
          <w:rFonts w:hint="eastAsia" w:ascii="Times New Roman" w:hAnsi="Times New Roman" w:eastAsia="仿宋_GB2312" w:cs="Times New Roman"/>
          <w:sz w:val="32"/>
          <w:szCs w:val="32"/>
          <w:lang w:val="en-US" w:eastAsia="zh-CN"/>
        </w:rPr>
        <w:t>厅</w:t>
      </w:r>
      <w:r>
        <w:rPr>
          <w:rFonts w:hint="default" w:ascii="Times New Roman" w:hAnsi="Times New Roman" w:eastAsia="仿宋_GB2312" w:cs="Times New Roman"/>
          <w:sz w:val="32"/>
          <w:szCs w:val="32"/>
          <w:lang w:val="en-US" w:eastAsia="zh-CN"/>
        </w:rPr>
        <w:t>结合工作实际，</w:t>
      </w:r>
      <w:r>
        <w:rPr>
          <w:rFonts w:hint="eastAsia" w:ascii="Times New Roman" w:hAnsi="Times New Roman" w:eastAsia="仿宋_GB2312" w:cs="Times New Roman"/>
          <w:sz w:val="32"/>
          <w:szCs w:val="32"/>
          <w:lang w:val="en-US" w:eastAsia="zh-CN"/>
        </w:rPr>
        <w:t>起草</w:t>
      </w:r>
      <w:r>
        <w:rPr>
          <w:rFonts w:hint="default" w:ascii="Times New Roman" w:hAnsi="Times New Roman" w:eastAsia="仿宋_GB2312" w:cs="Times New Roman"/>
          <w:sz w:val="32"/>
          <w:szCs w:val="32"/>
          <w:lang w:val="en-US" w:eastAsia="zh-CN"/>
        </w:rPr>
        <w:t>了《自治区房屋建筑和市政基础设施工程招标投标行政监督权责清单》（以下简称</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权责清单</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w:t>
      </w:r>
    </w:p>
    <w:p w14:paraId="7DB7C6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一、起草背景</w:t>
      </w:r>
    </w:p>
    <w:p w14:paraId="77D65D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lang w:val="en-US" w:eastAsia="zh-CN"/>
        </w:rPr>
      </w:pPr>
      <w:r>
        <w:rPr>
          <w:rFonts w:hint="eastAsia" w:ascii="Times New Roman" w:hAnsi="Times New Roman" w:eastAsia="仿宋_GB2312" w:cs="Times New Roman"/>
          <w:sz w:val="32"/>
          <w:szCs w:val="32"/>
          <w:lang w:val="en-US" w:eastAsia="zh-CN"/>
        </w:rPr>
        <w:t>2022年以来</w:t>
      </w:r>
      <w:r>
        <w:rPr>
          <w:rFonts w:hint="default" w:ascii="Times New Roman" w:hAnsi="Times New Roman" w:eastAsia="仿宋_GB2312" w:cs="Times New Roman"/>
          <w:sz w:val="32"/>
          <w:szCs w:val="32"/>
          <w:lang w:val="en-US" w:eastAsia="zh-CN"/>
        </w:rPr>
        <w:t>，我</w:t>
      </w:r>
      <w:r>
        <w:rPr>
          <w:rFonts w:hint="eastAsia" w:ascii="Times New Roman" w:hAnsi="Times New Roman" w:eastAsia="仿宋_GB2312" w:cs="Times New Roman"/>
          <w:sz w:val="32"/>
          <w:szCs w:val="32"/>
          <w:lang w:val="en-US" w:eastAsia="zh-CN"/>
        </w:rPr>
        <w:t>厅</w:t>
      </w:r>
      <w:r>
        <w:rPr>
          <w:rFonts w:hint="default" w:ascii="Times New Roman" w:hAnsi="Times New Roman" w:eastAsia="仿宋_GB2312" w:cs="Times New Roman"/>
          <w:sz w:val="32"/>
          <w:szCs w:val="32"/>
          <w:lang w:val="en-US" w:eastAsia="zh-CN"/>
        </w:rPr>
        <w:t>以完善招标投标行政监督体系为目标，以行政监督部门为抓手，建立了包含全</w:t>
      </w:r>
      <w:r>
        <w:rPr>
          <w:rFonts w:hint="eastAsia" w:ascii="Times New Roman" w:hAnsi="Times New Roman" w:eastAsia="仿宋_GB2312" w:cs="Times New Roman"/>
          <w:sz w:val="32"/>
          <w:szCs w:val="32"/>
          <w:lang w:val="en-US" w:eastAsia="zh-CN"/>
        </w:rPr>
        <w:t>区14个地（州、市）‌和‌110个县（市、区）</w:t>
      </w:r>
      <w:r>
        <w:rPr>
          <w:rFonts w:hint="default" w:ascii="Times New Roman" w:hAnsi="Times New Roman" w:eastAsia="仿宋_GB2312" w:cs="Times New Roman"/>
          <w:sz w:val="32"/>
          <w:szCs w:val="32"/>
          <w:lang w:val="en-US" w:eastAsia="zh-CN"/>
        </w:rPr>
        <w:t>的</w:t>
      </w:r>
      <w:r>
        <w:rPr>
          <w:rFonts w:hint="eastAsia" w:ascii="Times New Roman" w:hAnsi="Times New Roman" w:eastAsia="仿宋_GB2312" w:cs="Times New Roman"/>
          <w:sz w:val="32"/>
          <w:szCs w:val="32"/>
          <w:lang w:val="en-US" w:eastAsia="zh-CN"/>
        </w:rPr>
        <w:t>“房屋建筑和市政基础设施</w:t>
      </w:r>
      <w:r>
        <w:rPr>
          <w:rFonts w:hint="default" w:ascii="Times New Roman" w:hAnsi="Times New Roman" w:eastAsia="仿宋_GB2312" w:cs="Times New Roman"/>
          <w:sz w:val="32"/>
          <w:szCs w:val="32"/>
          <w:lang w:val="en-US" w:eastAsia="zh-CN"/>
        </w:rPr>
        <w:t>工程招标投标行政监管</w:t>
      </w:r>
      <w:r>
        <w:rPr>
          <w:rFonts w:hint="eastAsia" w:ascii="Times New Roman" w:hAnsi="Times New Roman" w:eastAsia="仿宋_GB2312" w:cs="Times New Roman"/>
          <w:sz w:val="32"/>
          <w:szCs w:val="32"/>
          <w:lang w:val="en-US" w:eastAsia="zh-CN"/>
        </w:rPr>
        <w:t>平台”，对招投标相关环节实施监督</w:t>
      </w:r>
      <w:r>
        <w:rPr>
          <w:rFonts w:hint="default" w:ascii="Times New Roman" w:hAnsi="Times New Roman" w:eastAsia="仿宋_GB2312" w:cs="Times New Roman"/>
          <w:sz w:val="32"/>
          <w:szCs w:val="32"/>
          <w:lang w:val="en-US" w:eastAsia="zh-CN"/>
        </w:rPr>
        <w:t>。</w:t>
      </w:r>
    </w:p>
    <w:p w14:paraId="4E1F2C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default" w:ascii="Times New Roman" w:hAnsi="Times New Roman" w:eastAsia="仿宋_GB2312" w:cs="Times New Roman"/>
          <w:sz w:val="32"/>
          <w:szCs w:val="32"/>
          <w:lang w:val="en-US" w:eastAsia="zh-CN"/>
        </w:rPr>
        <w:t>当前，自治区房屋建筑和市政基础设施工程建设规模持续扩大，招标投标活动日趋频繁，市场主体更加多元，监管任务日益繁重。实践中仍存在监管职责边界不够清晰、监管方式不够统一、</w:t>
      </w:r>
      <w:r>
        <w:rPr>
          <w:rFonts w:hint="eastAsia" w:ascii="Times New Roman" w:hAnsi="Times New Roman" w:eastAsia="仿宋_GB2312" w:cs="仿宋_GB2312"/>
          <w:sz w:val="32"/>
          <w:szCs w:val="32"/>
          <w:lang w:val="en-US" w:eastAsia="zh-CN"/>
        </w:rPr>
        <w:t>监管链条不够完整、层级监管不够协同等问题，围标串标、弄虚作假、规避招标、排斥限制潜在投标人等违法违规行为仍有发生，一定程度影响招标投标市场公平竞争秩序与营商环境建设。</w:t>
      </w:r>
    </w:p>
    <w:p w14:paraId="6C7B4715">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为深入贯彻落实《中华人民共和国招标投标法》《中华人民共和国招标投标法实施条例》等法律法规，严格执行国务院办公厅《关于创新完善体制机制推动招标投标市场规范健康发展的意见》（国办发〔2024〕21号）</w:t>
      </w:r>
      <w:bookmarkStart w:id="4" w:name="_GoBack"/>
      <w:bookmarkEnd w:id="4"/>
      <w:r>
        <w:rPr>
          <w:rFonts w:hint="eastAsia" w:ascii="Times New Roman" w:hAnsi="Times New Roman" w:eastAsia="仿宋_GB2312" w:cs="仿宋_GB2312"/>
          <w:sz w:val="32"/>
          <w:szCs w:val="32"/>
          <w:lang w:val="en-US" w:eastAsia="zh-CN"/>
        </w:rPr>
        <w:t>关于“分领域编制行政监督责任清单、厘清责任链条、消除监管盲区”的要求，参考江苏、山东、辽宁、吉林等省份编制工程招标投标行政监督权责清单的经验做法，结合招标投标监管工作实际，起草了《权责清单》。</w:t>
      </w:r>
    </w:p>
    <w:p w14:paraId="33ED6B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二、起草</w:t>
      </w:r>
      <w:r>
        <w:rPr>
          <w:rFonts w:hint="default" w:ascii="Times New Roman" w:hAnsi="Times New Roman" w:eastAsia="黑体" w:cs="Times New Roman"/>
          <w:sz w:val="32"/>
          <w:szCs w:val="32"/>
        </w:rPr>
        <w:t>过程</w:t>
      </w:r>
    </w:p>
    <w:p w14:paraId="54941D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2026</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1月</w:t>
      </w:r>
      <w:r>
        <w:rPr>
          <w:rFonts w:hint="default" w:ascii="Times New Roman" w:hAnsi="Times New Roman" w:eastAsia="仿宋_GB2312" w:cs="Times New Roman"/>
          <w:sz w:val="32"/>
          <w:szCs w:val="32"/>
          <w:lang w:val="en-US" w:eastAsia="zh-CN"/>
        </w:rPr>
        <w:t>启动</w:t>
      </w:r>
      <w:r>
        <w:rPr>
          <w:rFonts w:hint="eastAsia" w:ascii="Times New Roman" w:hAnsi="Times New Roman" w:eastAsia="仿宋_GB2312" w:cs="仿宋_GB2312"/>
          <w:sz w:val="32"/>
          <w:szCs w:val="32"/>
          <w:lang w:val="en-US" w:eastAsia="zh-CN"/>
        </w:rPr>
        <w:t>《权责清单》</w:t>
      </w:r>
      <w:r>
        <w:rPr>
          <w:rFonts w:hint="default" w:ascii="Times New Roman" w:hAnsi="Times New Roman" w:eastAsia="仿宋_GB2312" w:cs="Times New Roman"/>
          <w:sz w:val="32"/>
          <w:szCs w:val="32"/>
          <w:lang w:val="en-US" w:eastAsia="zh-CN"/>
        </w:rPr>
        <w:t>起草工作</w:t>
      </w:r>
      <w:r>
        <w:rPr>
          <w:rFonts w:hint="eastAsia" w:ascii="Times New Roman" w:hAnsi="Times New Roman" w:eastAsia="仿宋_GB2312" w:cs="Times New Roman"/>
          <w:sz w:val="32"/>
          <w:szCs w:val="32"/>
          <w:lang w:val="en-US" w:eastAsia="zh-CN"/>
        </w:rPr>
        <w:t>，全面梳理国家及自治区招投标领域法律法规、规章及规范性文件，重点对标《国务院办公厅关于创新完善体制机制推动招标投标市场规范健康发展的意见》（国办发〔2024〕21号）、《国家发展改革委等部门关于严格执行招标投标法规制度进一步规范招标投标主体行为的若干意见》（发改法规规〔2022〕1117号）、《自治区工程建设项目招标投标行政监督责任清单（试行）》（新发改项目〔2025〕609号）等核心文件要求，形成</w:t>
      </w:r>
      <w:r>
        <w:rPr>
          <w:rFonts w:hint="eastAsia" w:ascii="Times New Roman" w:hAnsi="Times New Roman" w:eastAsia="仿宋_GB2312" w:cs="仿宋_GB2312"/>
          <w:sz w:val="32"/>
          <w:szCs w:val="32"/>
          <w:lang w:val="en-US" w:eastAsia="zh-CN"/>
        </w:rPr>
        <w:t>《权责清单》</w:t>
      </w:r>
      <w:r>
        <w:rPr>
          <w:rFonts w:hint="default" w:ascii="Times New Roman" w:hAnsi="Times New Roman" w:eastAsia="仿宋_GB2312" w:cs="Times New Roman"/>
          <w:sz w:val="32"/>
          <w:szCs w:val="32"/>
          <w:lang w:val="en-US" w:eastAsia="zh-CN"/>
        </w:rPr>
        <w:t>初稿</w:t>
      </w:r>
      <w:r>
        <w:rPr>
          <w:rFonts w:hint="eastAsia" w:ascii="Times New Roman" w:hAnsi="Times New Roman" w:eastAsia="仿宋_GB2312" w:cs="Times New Roman"/>
          <w:sz w:val="32"/>
          <w:szCs w:val="32"/>
          <w:lang w:val="en-US" w:eastAsia="zh-CN"/>
        </w:rPr>
        <w:t>。并</w:t>
      </w:r>
      <w:r>
        <w:rPr>
          <w:rFonts w:hint="default" w:ascii="Times New Roman" w:hAnsi="Times New Roman" w:eastAsia="仿宋_GB2312" w:cs="Times New Roman"/>
          <w:sz w:val="32"/>
          <w:szCs w:val="32"/>
          <w:lang w:val="en-US" w:eastAsia="zh-CN"/>
        </w:rPr>
        <w:t>于</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3日组织</w:t>
      </w:r>
      <w:r>
        <w:rPr>
          <w:rFonts w:hint="eastAsia" w:ascii="Times New Roman" w:hAnsi="Times New Roman" w:eastAsia="仿宋_GB2312" w:cs="Times New Roman"/>
          <w:sz w:val="32"/>
          <w:szCs w:val="32"/>
          <w:lang w:val="en-US" w:eastAsia="zh-CN"/>
        </w:rPr>
        <w:t>自治区造价和招标投标协会相关专家</w:t>
      </w:r>
      <w:r>
        <w:rPr>
          <w:rFonts w:hint="default" w:ascii="Times New Roman" w:hAnsi="Times New Roman" w:eastAsia="仿宋_GB2312" w:cs="Times New Roman"/>
          <w:sz w:val="32"/>
          <w:szCs w:val="32"/>
          <w:lang w:val="en-US" w:eastAsia="zh-CN"/>
        </w:rPr>
        <w:t>进行论证，充分吸收采纳专家的意见建议后形成了</w:t>
      </w:r>
      <w:r>
        <w:rPr>
          <w:rFonts w:hint="eastAsia" w:ascii="Times New Roman" w:hAnsi="Times New Roman" w:eastAsia="仿宋_GB2312" w:cs="仿宋_GB2312"/>
          <w:sz w:val="32"/>
          <w:szCs w:val="32"/>
          <w:lang w:val="en-US" w:eastAsia="zh-CN"/>
        </w:rPr>
        <w:t>《权责清单》</w:t>
      </w:r>
      <w:r>
        <w:rPr>
          <w:rFonts w:hint="default" w:ascii="Times New Roman" w:hAnsi="Times New Roman" w:eastAsia="仿宋_GB2312" w:cs="Times New Roman"/>
          <w:sz w:val="32"/>
          <w:szCs w:val="32"/>
          <w:lang w:val="en-US" w:eastAsia="zh-CN"/>
        </w:rPr>
        <w:t>征求意见稿。</w:t>
      </w:r>
    </w:p>
    <w:p w14:paraId="56787C3E">
      <w:pPr>
        <w:pStyle w:val="10"/>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三、主要内容</w:t>
      </w:r>
    </w:p>
    <w:p w14:paraId="246CD8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仿宋_GB2312"/>
          <w:sz w:val="32"/>
          <w:szCs w:val="32"/>
          <w:lang w:val="en-US" w:eastAsia="zh-CN"/>
        </w:rPr>
        <w:t>《权责清单》</w:t>
      </w:r>
      <w:r>
        <w:rPr>
          <w:rFonts w:hint="default" w:ascii="Times New Roman" w:hAnsi="Times New Roman" w:eastAsia="仿宋_GB2312" w:cs="Times New Roman"/>
          <w:sz w:val="32"/>
          <w:szCs w:val="32"/>
        </w:rPr>
        <w:t>聚焦房屋建筑和市政基础设施工程招投标全流程、全主体，明确6类核心监管对象、法定监管内容、监管依据、监管方式、实施主体，构建“对象全覆盖、内容全链条、依据全法定、方式全协同、主体全明确”的行政监督体系。</w:t>
      </w:r>
    </w:p>
    <w:p w14:paraId="6FC4C8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方正楷体_GB2312" w:cs="方正楷体_GB2312"/>
          <w:sz w:val="32"/>
          <w:szCs w:val="32"/>
        </w:rPr>
        <w:t>（一）监管对象全覆盖</w:t>
      </w:r>
      <w:r>
        <w:rPr>
          <w:rFonts w:hint="eastAsia" w:ascii="Times New Roman" w:hAnsi="Times New Roman" w:eastAsia="方正楷体_GB2312" w:cs="方正楷体_GB2312"/>
          <w:sz w:val="32"/>
          <w:szCs w:val="32"/>
          <w:lang w:eastAsia="zh-CN"/>
        </w:rPr>
        <w:t>。</w:t>
      </w:r>
      <w:r>
        <w:rPr>
          <w:rFonts w:hint="eastAsia" w:ascii="Times New Roman" w:hAnsi="Times New Roman" w:eastAsia="仿宋_GB2312" w:cs="仿宋_GB2312"/>
          <w:sz w:val="32"/>
          <w:szCs w:val="32"/>
        </w:rPr>
        <w:t>覆盖招标人、投标人、评标专家、招标代理机构及其从业人员、公共资源交易服务机构及其工作人员、电子招标投标系统运营机</w:t>
      </w:r>
      <w:r>
        <w:rPr>
          <w:rFonts w:hint="eastAsia" w:ascii="Times New Roman" w:hAnsi="Times New Roman" w:eastAsia="仿宋_GB2312" w:cs="仿宋_GB2312"/>
          <w:sz w:val="32"/>
          <w:szCs w:val="32"/>
          <w:lang w:eastAsia="zh-CN"/>
        </w:rPr>
        <w:t>构等</w:t>
      </w:r>
      <w:r>
        <w:rPr>
          <w:rFonts w:hint="eastAsia" w:ascii="Times New Roman" w:hAnsi="Times New Roman" w:eastAsia="仿宋_GB2312" w:cs="仿宋_GB2312"/>
          <w:sz w:val="32"/>
          <w:szCs w:val="32"/>
        </w:rPr>
        <w:t>6类关键主体，实现监管无死角。</w:t>
      </w:r>
    </w:p>
    <w:p w14:paraId="05D324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方正楷体_GB2312" w:cs="方正楷体_GB2312"/>
          <w:sz w:val="32"/>
          <w:szCs w:val="32"/>
        </w:rPr>
        <w:t>（二）监管内容全链条</w:t>
      </w:r>
      <w:r>
        <w:rPr>
          <w:rFonts w:hint="eastAsia" w:ascii="Times New Roman" w:hAnsi="Times New Roman" w:eastAsia="方正楷体_GB2312" w:cs="方正楷体_GB2312"/>
          <w:sz w:val="32"/>
          <w:szCs w:val="32"/>
          <w:lang w:eastAsia="zh-CN"/>
        </w:rPr>
        <w:t>。</w:t>
      </w:r>
      <w:r>
        <w:rPr>
          <w:rFonts w:hint="eastAsia" w:ascii="Times New Roman" w:hAnsi="Times New Roman" w:eastAsia="仿宋_GB2312" w:cs="仿宋_GB2312"/>
          <w:sz w:val="32"/>
          <w:szCs w:val="32"/>
        </w:rPr>
        <w:t>紧扣招标、投标、开标、评标、</w:t>
      </w:r>
      <w:r>
        <w:rPr>
          <w:rFonts w:hint="eastAsia" w:ascii="Times New Roman" w:hAnsi="Times New Roman" w:eastAsia="仿宋_GB2312" w:cs="仿宋_GB2312"/>
          <w:sz w:val="32"/>
          <w:szCs w:val="32"/>
          <w:lang w:val="en-US" w:eastAsia="zh-CN"/>
        </w:rPr>
        <w:t>定</w:t>
      </w:r>
      <w:r>
        <w:rPr>
          <w:rFonts w:hint="eastAsia" w:ascii="Times New Roman" w:hAnsi="Times New Roman" w:eastAsia="仿宋_GB2312" w:cs="仿宋_GB2312"/>
          <w:sz w:val="32"/>
          <w:szCs w:val="32"/>
        </w:rPr>
        <w:t>标、合同履行、档案管理、系统运营等关键环节，针对不同主体明确</w:t>
      </w:r>
      <w:r>
        <w:rPr>
          <w:rFonts w:hint="eastAsia" w:ascii="Times New Roman" w:hAnsi="Times New Roman" w:eastAsia="仿宋_GB2312" w:cs="仿宋_GB2312"/>
          <w:sz w:val="32"/>
          <w:szCs w:val="32"/>
          <w:lang w:val="en-US" w:eastAsia="zh-CN"/>
        </w:rPr>
        <w:t>以下</w:t>
      </w:r>
      <w:r>
        <w:rPr>
          <w:rFonts w:hint="eastAsia" w:ascii="Times New Roman" w:hAnsi="Times New Roman" w:eastAsia="仿宋_GB2312" w:cs="仿宋_GB2312"/>
          <w:sz w:val="32"/>
          <w:szCs w:val="32"/>
        </w:rPr>
        <w:t>监管重点：</w:t>
      </w:r>
      <w:r>
        <w:rPr>
          <w:rFonts w:hint="eastAsia" w:ascii="Times New Roman" w:hAnsi="Times New Roman" w:eastAsia="仿宋_GB2312" w:cs="仿宋_GB2312"/>
          <w:b/>
          <w:bCs/>
          <w:sz w:val="32"/>
          <w:szCs w:val="32"/>
          <w:lang w:val="en-US" w:eastAsia="zh-CN"/>
        </w:rPr>
        <w:t>一是</w:t>
      </w:r>
      <w:r>
        <w:rPr>
          <w:rFonts w:hint="eastAsia" w:ascii="Times New Roman" w:hAnsi="Times New Roman" w:eastAsia="仿宋_GB2312" w:cs="仿宋_GB2312"/>
          <w:sz w:val="32"/>
          <w:szCs w:val="32"/>
        </w:rPr>
        <w:t>招标人：规避招标、虚假招标、设置不合理条件、违规组建评标委员会等；</w:t>
      </w:r>
      <w:r>
        <w:rPr>
          <w:rFonts w:hint="eastAsia" w:ascii="Times New Roman" w:hAnsi="Times New Roman" w:eastAsia="仿宋_GB2312" w:cs="仿宋_GB2312"/>
          <w:b/>
          <w:bCs/>
          <w:sz w:val="32"/>
          <w:szCs w:val="32"/>
          <w:lang w:val="en-US" w:eastAsia="zh-CN"/>
        </w:rPr>
        <w:t>二是</w:t>
      </w:r>
      <w:r>
        <w:rPr>
          <w:rFonts w:hint="eastAsia" w:ascii="Times New Roman" w:hAnsi="Times New Roman" w:eastAsia="仿宋_GB2312" w:cs="仿宋_GB2312"/>
          <w:sz w:val="32"/>
          <w:szCs w:val="32"/>
        </w:rPr>
        <w:t>投标人：弄虚作假、围标串标、转包违法分包、陪标“标王”等；</w:t>
      </w:r>
      <w:r>
        <w:rPr>
          <w:rFonts w:hint="eastAsia" w:ascii="Times New Roman" w:hAnsi="Times New Roman" w:eastAsia="仿宋_GB2312" w:cs="仿宋_GB2312"/>
          <w:b/>
          <w:bCs/>
          <w:sz w:val="32"/>
          <w:szCs w:val="32"/>
          <w:lang w:val="en-US" w:eastAsia="zh-CN"/>
        </w:rPr>
        <w:t>三是</w:t>
      </w:r>
      <w:r>
        <w:rPr>
          <w:rFonts w:hint="eastAsia" w:ascii="Times New Roman" w:hAnsi="Times New Roman" w:eastAsia="仿宋_GB2312" w:cs="仿宋_GB2312"/>
          <w:sz w:val="32"/>
          <w:szCs w:val="32"/>
        </w:rPr>
        <w:t>评标专家：履职尽责、利益回避、廉洁自律、严守保密义务等；</w:t>
      </w:r>
      <w:r>
        <w:rPr>
          <w:rFonts w:hint="eastAsia" w:ascii="Times New Roman" w:hAnsi="Times New Roman" w:eastAsia="仿宋_GB2312" w:cs="仿宋_GB2312"/>
          <w:b/>
          <w:bCs/>
          <w:sz w:val="32"/>
          <w:szCs w:val="32"/>
          <w:lang w:val="en-US" w:eastAsia="zh-CN"/>
        </w:rPr>
        <w:t>四是</w:t>
      </w:r>
      <w:r>
        <w:rPr>
          <w:rFonts w:hint="eastAsia" w:ascii="Times New Roman" w:hAnsi="Times New Roman" w:eastAsia="仿宋_GB2312" w:cs="仿宋_GB2312"/>
          <w:sz w:val="32"/>
          <w:szCs w:val="32"/>
        </w:rPr>
        <w:t>代理机构：依法承揽业务、抵制违法要求、保守秘密、规范档案管理等；</w:t>
      </w:r>
      <w:r>
        <w:rPr>
          <w:rFonts w:hint="eastAsia" w:ascii="Times New Roman" w:hAnsi="Times New Roman" w:eastAsia="仿宋_GB2312" w:cs="仿宋_GB2312"/>
          <w:b/>
          <w:bCs/>
          <w:sz w:val="32"/>
          <w:szCs w:val="32"/>
          <w:lang w:val="en-US" w:eastAsia="zh-CN"/>
        </w:rPr>
        <w:t>五是</w:t>
      </w:r>
      <w:r>
        <w:rPr>
          <w:rFonts w:hint="eastAsia" w:ascii="Times New Roman" w:hAnsi="Times New Roman" w:eastAsia="仿宋_GB2312" w:cs="仿宋_GB2312"/>
          <w:sz w:val="32"/>
          <w:szCs w:val="32"/>
        </w:rPr>
        <w:t>交易服务机构：规范服务、数据安全、禁止越位监管、廉洁履职等；</w:t>
      </w:r>
      <w:r>
        <w:rPr>
          <w:rFonts w:hint="eastAsia" w:ascii="Times New Roman" w:hAnsi="Times New Roman" w:eastAsia="仿宋_GB2312" w:cs="仿宋_GB2312"/>
          <w:b/>
          <w:bCs/>
          <w:sz w:val="32"/>
          <w:szCs w:val="32"/>
          <w:lang w:val="en-US" w:eastAsia="zh-CN"/>
        </w:rPr>
        <w:t>六是</w:t>
      </w:r>
      <w:r>
        <w:rPr>
          <w:rFonts w:hint="eastAsia" w:ascii="Times New Roman" w:hAnsi="Times New Roman" w:eastAsia="仿宋_GB2312" w:cs="仿宋_GB2312"/>
          <w:sz w:val="32"/>
          <w:szCs w:val="32"/>
        </w:rPr>
        <w:t>系统运营机构：合规运营、数据安全、平等服务、规范收费等。</w:t>
      </w:r>
    </w:p>
    <w:p w14:paraId="0B2A37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方正楷体_GB2312" w:cs="方正楷体_GB2312"/>
          <w:sz w:val="32"/>
          <w:szCs w:val="32"/>
        </w:rPr>
        <w:t>（三）监管依据全法定</w:t>
      </w:r>
      <w:r>
        <w:rPr>
          <w:rFonts w:hint="eastAsia" w:ascii="Times New Roman" w:hAnsi="Times New Roman" w:eastAsia="方正楷体_GB2312" w:cs="方正楷体_GB2312"/>
          <w:sz w:val="32"/>
          <w:szCs w:val="32"/>
          <w:lang w:eastAsia="zh-CN"/>
        </w:rPr>
        <w:t>。</w:t>
      </w:r>
      <w:r>
        <w:rPr>
          <w:rFonts w:hint="eastAsia" w:ascii="Times New Roman" w:hAnsi="Times New Roman" w:eastAsia="仿宋_GB2312" w:cs="仿宋_GB2312"/>
          <w:sz w:val="32"/>
          <w:szCs w:val="32"/>
        </w:rPr>
        <w:t>全部监管事项均对应《</w:t>
      </w:r>
      <w:r>
        <w:rPr>
          <w:rFonts w:hint="eastAsia" w:ascii="Times New Roman" w:hAnsi="Times New Roman" w:eastAsia="仿宋_GB2312" w:cs="仿宋_GB2312"/>
          <w:sz w:val="32"/>
          <w:szCs w:val="32"/>
          <w:lang w:eastAsia="zh-CN"/>
        </w:rPr>
        <w:t>中华人民共和国招标投标法</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中华人民共和国招标投标法实施条例</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及其配套的部门规章</w:t>
      </w:r>
      <w:r>
        <w:rPr>
          <w:rFonts w:hint="eastAsia" w:ascii="Times New Roman" w:hAnsi="Times New Roman" w:eastAsia="仿宋_GB2312" w:cs="仿宋_GB2312"/>
          <w:sz w:val="32"/>
          <w:szCs w:val="32"/>
        </w:rPr>
        <w:t>，监管于法有据、权责法定。</w:t>
      </w:r>
    </w:p>
    <w:p w14:paraId="125228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方正楷体_GB2312" w:cs="方正楷体_GB2312"/>
          <w:sz w:val="32"/>
          <w:szCs w:val="32"/>
        </w:rPr>
        <w:t>（四）监管方式全协同</w:t>
      </w:r>
      <w:r>
        <w:rPr>
          <w:rFonts w:hint="eastAsia" w:ascii="Times New Roman" w:hAnsi="Times New Roman" w:eastAsia="方正楷体_GB2312" w:cs="方正楷体_GB2312"/>
          <w:sz w:val="32"/>
          <w:szCs w:val="32"/>
          <w:lang w:eastAsia="zh-CN"/>
        </w:rPr>
        <w:t>。</w:t>
      </w:r>
      <w:r>
        <w:rPr>
          <w:rFonts w:hint="eastAsia" w:ascii="Times New Roman" w:hAnsi="Times New Roman" w:eastAsia="仿宋_GB2312" w:cs="仿宋_GB2312"/>
          <w:sz w:val="32"/>
          <w:szCs w:val="32"/>
        </w:rPr>
        <w:t>采用事中事后抽查、过程监督、专项检查、“双随机、一公开”、信用监管、大数据监测、投诉处理、电子监管等多元方式，形成事前规范、事中严控、事后严管的立体化监管模式。</w:t>
      </w:r>
    </w:p>
    <w:p w14:paraId="17070A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方正楷体_GB2312" w:cs="方正楷体_GB2312"/>
          <w:sz w:val="32"/>
          <w:szCs w:val="32"/>
        </w:rPr>
        <w:t>（五）实施主体层级清晰</w:t>
      </w:r>
      <w:r>
        <w:rPr>
          <w:rFonts w:hint="eastAsia" w:ascii="Times New Roman" w:hAnsi="Times New Roman" w:eastAsia="方正楷体_GB2312" w:cs="方正楷体_GB2312"/>
          <w:sz w:val="32"/>
          <w:szCs w:val="32"/>
          <w:lang w:eastAsia="zh-CN"/>
        </w:rPr>
        <w:t>。</w:t>
      </w:r>
      <w:r>
        <w:rPr>
          <w:rFonts w:hint="eastAsia" w:ascii="Times New Roman" w:hAnsi="Times New Roman" w:eastAsia="仿宋_GB2312" w:cs="仿宋_GB2312"/>
          <w:sz w:val="32"/>
          <w:szCs w:val="32"/>
        </w:rPr>
        <w:t>明确自治区住建厅统筹指导，各地（州、市）、县（市、区）住建局分级负责、属地监管，压实层级监管责任，避免监管重叠与空白。</w:t>
      </w:r>
    </w:p>
    <w:sectPr>
      <w:footerReference r:id="rId3" w:type="default"/>
      <w:pgSz w:w="11906" w:h="16838"/>
      <w:pgMar w:top="2098" w:right="1531" w:bottom="1984" w:left="1531" w:header="851" w:footer="1587"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909DF36-2ADC-49BB-A39A-29A38C920DD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8B0F3308-4DE8-4934-BC8F-BC73382D5991}"/>
  </w:font>
  <w:font w:name="华文仿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方正公文小标宋">
    <w:panose1 w:val="02000500000000000000"/>
    <w:charset w:val="86"/>
    <w:family w:val="auto"/>
    <w:pitch w:val="default"/>
    <w:sig w:usb0="A00002BF" w:usb1="38CF7CFA" w:usb2="00000016" w:usb3="00000000" w:csb0="00040001" w:csb1="00000000"/>
    <w:embedRegular r:id="rId3" w:fontKey="{2F53F130-79E3-43A1-9064-C0A59DCAA17B}"/>
  </w:font>
  <w:font w:name="方正小标宋简体">
    <w:panose1 w:val="02010601030101010101"/>
    <w:charset w:val="86"/>
    <w:family w:val="script"/>
    <w:pitch w:val="default"/>
    <w:sig w:usb0="00000001" w:usb1="080E0000" w:usb2="00000000" w:usb3="00000000" w:csb0="00040000" w:csb1="00000000"/>
  </w:font>
  <w:font w:name="方正楷体_GB2312">
    <w:panose1 w:val="02000000000000000000"/>
    <w:charset w:val="86"/>
    <w:family w:val="auto"/>
    <w:pitch w:val="default"/>
    <w:sig w:usb0="A00002BF" w:usb1="184F6CFA" w:usb2="00000012" w:usb3="00000000" w:csb0="00040001" w:csb1="00000000"/>
    <w:embedRegular r:id="rId4" w:fontKey="{F60CD7EC-EC96-4D44-9469-0F0CD54A4DB9}"/>
  </w:font>
  <w:font w:name="WPSEMBED2">
    <w:panose1 w:val="02000000000000000000"/>
    <w:charset w:val="86"/>
    <w:family w:val="auto"/>
    <w:pitch w:val="default"/>
    <w:sig w:usb0="A00002BF" w:usb1="184F6CFA" w:usb2="00000012" w:usb3="00000000" w:csb0="00040001" w:csb1="00000000"/>
  </w:font>
  <w:font w:name="WPSEMBED1">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F2D7C">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95D59B">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C95D59B">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5B68A6"/>
    <w:multiLevelType w:val="multilevel"/>
    <w:tmpl w:val="285B68A6"/>
    <w:lvl w:ilvl="0" w:tentative="0">
      <w:start w:val="1"/>
      <w:numFmt w:val="chineseCountingThousand"/>
      <w:pStyle w:val="4"/>
      <w:suff w:val="nothing"/>
      <w:lvlText w:val="%1、"/>
      <w:lvlJc w:val="left"/>
      <w:pPr>
        <w:ind w:left="992" w:hanging="992"/>
      </w:pPr>
      <w:rPr>
        <w:rFonts w:hint="eastAsia"/>
      </w:rPr>
    </w:lvl>
    <w:lvl w:ilvl="1" w:tentative="0">
      <w:start w:val="1"/>
      <w:numFmt w:val="chineseCountingThousand"/>
      <w:suff w:val="nothing"/>
      <w:lvlText w:val="（%2）"/>
      <w:lvlJc w:val="left"/>
      <w:pPr>
        <w:ind w:left="7472" w:hanging="992"/>
      </w:pPr>
      <w:rPr>
        <w:rFonts w:hint="eastAsia"/>
      </w:rPr>
    </w:lvl>
    <w:lvl w:ilvl="2" w:tentative="0">
      <w:start w:val="1"/>
      <w:numFmt w:val="decimal"/>
      <w:suff w:val="nothing"/>
      <w:lvlText w:val="%3．"/>
      <w:lvlJc w:val="left"/>
      <w:pPr>
        <w:ind w:left="9812" w:hanging="992"/>
      </w:pPr>
      <w:rPr>
        <w:rFonts w:hint="eastAsia"/>
      </w:rPr>
    </w:lvl>
    <w:lvl w:ilvl="3" w:tentative="0">
      <w:start w:val="1"/>
      <w:numFmt w:val="decimal"/>
      <w:suff w:val="nothing"/>
      <w:lvlText w:val="（%4）"/>
      <w:lvlJc w:val="left"/>
      <w:pPr>
        <w:ind w:left="6752" w:hanging="992"/>
      </w:pPr>
      <w:rPr>
        <w:rFonts w:ascii="Times New Roman" w:hAnsi="Times New Roman"/>
        <w:b w:val="0"/>
        <w:bCs w:val="0"/>
        <w:i w:val="0"/>
        <w:iCs w:val="0"/>
        <w:caps w:val="0"/>
        <w:smallCaps w:val="0"/>
        <w:strike w:val="0"/>
        <w:dstrike w:val="0"/>
        <w:vanish w:val="0"/>
        <w:spacing w:val="0"/>
        <w:position w:val="0"/>
        <w:u w:val="none"/>
        <w:vertAlign w:val="baseline"/>
        <w:lang w:val="en-US"/>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992" w:hanging="992"/>
      </w:pPr>
      <w:rPr>
        <w:rFonts w:hint="eastAsia"/>
      </w:rPr>
    </w:lvl>
    <w:lvl w:ilvl="6" w:tentative="0">
      <w:start w:val="1"/>
      <w:numFmt w:val="decimal"/>
      <w:lvlText w:val="%1.%2.%3.%4.%5.%6.%7"/>
      <w:lvlJc w:val="left"/>
      <w:pPr>
        <w:ind w:left="992" w:hanging="992"/>
      </w:pPr>
      <w:rPr>
        <w:rFonts w:hint="eastAsia"/>
      </w:rPr>
    </w:lvl>
    <w:lvl w:ilvl="7" w:tentative="0">
      <w:start w:val="1"/>
      <w:numFmt w:val="decimal"/>
      <w:lvlText w:val="%1.%2.%3.%4.%5.%6.%7.%8"/>
      <w:lvlJc w:val="left"/>
      <w:pPr>
        <w:ind w:left="992" w:hanging="992"/>
      </w:pPr>
      <w:rPr>
        <w:rFonts w:hint="eastAsia"/>
      </w:rPr>
    </w:lvl>
    <w:lvl w:ilvl="8" w:tentative="0">
      <w:start w:val="1"/>
      <w:numFmt w:val="decimal"/>
      <w:lvlText w:val="%1.%2.%3.%4.%5.%6.%7.%8.%9"/>
      <w:lvlJc w:val="left"/>
      <w:pPr>
        <w:ind w:left="992" w:hanging="99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65344"/>
    <w:rsid w:val="08332819"/>
    <w:rsid w:val="08B651F8"/>
    <w:rsid w:val="093A7BD7"/>
    <w:rsid w:val="0CBD6E97"/>
    <w:rsid w:val="13831A5B"/>
    <w:rsid w:val="23A3664D"/>
    <w:rsid w:val="2B22254D"/>
    <w:rsid w:val="32FF13C6"/>
    <w:rsid w:val="34125129"/>
    <w:rsid w:val="39A62318"/>
    <w:rsid w:val="3BFF88C4"/>
    <w:rsid w:val="3C9963E7"/>
    <w:rsid w:val="3D037D04"/>
    <w:rsid w:val="3EAB0813"/>
    <w:rsid w:val="3FDE58A9"/>
    <w:rsid w:val="4AEC6DA7"/>
    <w:rsid w:val="4DBF1A26"/>
    <w:rsid w:val="50193DDE"/>
    <w:rsid w:val="5112678F"/>
    <w:rsid w:val="51E231AC"/>
    <w:rsid w:val="5785783C"/>
    <w:rsid w:val="5E8E13E1"/>
    <w:rsid w:val="65E77858"/>
    <w:rsid w:val="71E39743"/>
    <w:rsid w:val="744A5DF0"/>
    <w:rsid w:val="777D3DA9"/>
    <w:rsid w:val="77B568B3"/>
    <w:rsid w:val="77E8A13E"/>
    <w:rsid w:val="787B15D3"/>
    <w:rsid w:val="7D7A54D3"/>
    <w:rsid w:val="B73A0DD4"/>
    <w:rsid w:val="FF4F8C98"/>
    <w:rsid w:val="FF9F12CE"/>
    <w:rsid w:val="FFB7A809"/>
    <w:rsid w:val="FFF52C1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2"/>
    <w:basedOn w:val="1"/>
    <w:next w:val="1"/>
    <w:qFormat/>
    <w:uiPriority w:val="9"/>
    <w:pPr>
      <w:numPr>
        <w:ilvl w:val="0"/>
        <w:numId w:val="1"/>
      </w:numPr>
      <w:spacing w:line="480" w:lineRule="exact"/>
      <w:ind w:left="0" w:firstLine="560" w:firstLineChars="200"/>
      <w:outlineLvl w:val="1"/>
    </w:pPr>
    <w:rPr>
      <w:rFonts w:ascii="华文仿宋" w:hAnsi="华文仿宋" w:eastAsia="华文仿宋" w:cs="Cambria"/>
      <w:kern w:val="0"/>
      <w:sz w:val="28"/>
      <w:szCs w:val="28"/>
    </w:rPr>
  </w:style>
  <w:style w:type="paragraph" w:styleId="5">
    <w:name w:val="heading 3"/>
    <w:basedOn w:val="4"/>
    <w:next w:val="1"/>
    <w:unhideWhenUsed/>
    <w:qFormat/>
    <w:uiPriority w:val="0"/>
    <w:pPr>
      <w:keepNext/>
      <w:keepLines/>
      <w:spacing w:line="560" w:lineRule="exact"/>
      <w:outlineLvl w:val="2"/>
    </w:pPr>
    <w:rPr>
      <w:rFonts w:ascii="Calibri" w:hAnsi="Calibri"/>
      <w:b/>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style>
  <w:style w:type="paragraph" w:styleId="3">
    <w:name w:val="Body Text First Indent"/>
    <w:basedOn w:val="2"/>
    <w:qFormat/>
    <w:uiPriority w:val="0"/>
    <w:pPr>
      <w:spacing w:before="100" w:beforeAutospacing="1"/>
      <w:ind w:firstLine="420" w:firstLineChars="100"/>
    </w:pPr>
    <w:rPr>
      <w:rFonts w:ascii="Times New Roman" w:hAnsi="Times New Roman"/>
      <w:sz w:val="30"/>
      <w:szCs w:val="30"/>
    </w:rPr>
  </w:style>
  <w:style w:type="paragraph" w:styleId="6">
    <w:name w:val="Body Text Indent"/>
    <w:basedOn w:val="1"/>
    <w:next w:val="7"/>
    <w:qFormat/>
    <w:uiPriority w:val="99"/>
    <w:pPr>
      <w:spacing w:after="120"/>
      <w:ind w:left="420" w:leftChars="200"/>
    </w:pPr>
  </w:style>
  <w:style w:type="paragraph" w:styleId="7">
    <w:name w:val="Normal (Web)"/>
    <w:basedOn w:val="1"/>
    <w:next w:val="1"/>
    <w:qFormat/>
    <w:uiPriority w:val="0"/>
    <w:pPr>
      <w:spacing w:before="100" w:beforeAutospacing="1" w:after="100" w:afterAutospacing="1"/>
      <w:jc w:val="left"/>
    </w:pPr>
    <w:rPr>
      <w:kern w:val="0"/>
      <w:sz w:val="24"/>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First Indent 2"/>
    <w:basedOn w:val="6"/>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a84dab-6de7-4c90-8657-35e6fa3cf38f}">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1637</Words>
  <Characters>1670</Characters>
  <Lines>0</Lines>
  <Paragraphs>0</Paragraphs>
  <TotalTime>8</TotalTime>
  <ScaleCrop>false</ScaleCrop>
  <LinksUpToDate>false</LinksUpToDate>
  <CharactersWithSpaces>1670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Administrator</dc:creator>
  <cp:lastModifiedBy>.ysFrk</cp:lastModifiedBy>
  <dcterms:modified xsi:type="dcterms:W3CDTF">2026-04-28T10:24:08Z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eyJoZGlkIjoiNmVmNzg2MWRjZjVjNzVhNTU2ZTBhMzdhNmZhNGFkZGEiLCJ1c2VySWQiOiI0NjEwMjA3NjEifQ==</vt:lpwstr>
  </property>
  <property fmtid="{D5CDD505-2E9C-101B-9397-08002B2CF9AE}" pid="4" name="ICV">
    <vt:lpwstr>BF0EA508C20246368840C8EB82F02C3C_13</vt:lpwstr>
  </property>
</Properties>
</file>